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spacing w:before="240"/>
        <w:ind w:right="2835"/>
        <w:jc w:val="both"/>
        <w:rPr>
          <w:rFonts w:ascii="Arial" w:hAnsi="Arial" w:eastAsia="Arial" w:cs="Arial"/>
        </w:rPr>
      </w:pPr>
      <w:r>
        <w:rPr>
          <w:rFonts w:ascii="Arial" w:hAnsi="Arial"/>
          <w:b/>
          <w:bCs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line">
                  <wp:posOffset>-770255</wp:posOffset>
                </wp:positionV>
                <wp:extent cx="2260600" cy="10388600"/>
                <wp:effectExtent l="0" t="0" r="0" b="0"/>
                <wp:wrapNone/>
                <wp:docPr id="1" name="officeArt object" descr="Presseinform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60600" cy="103885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Presseinformation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Kontakt: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Initiative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proDente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e. V.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Aachener Straße 1053-1055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50858 Köln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Fon: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+49 221 170 99 740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+49 221 170 742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Mobil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+49 163 776 336 8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/>
                            <w:hyperlink r:id="rId11" w:tooltip="mailto:info@prodente.de" w:history="1">
                              <w:r>
                                <w:rPr>
                                  <w:rStyle w:val="742"/>
                                  <w:lang w:val="fr-FR"/>
                                </w:rPr>
                                <w:t xml:space="preserve">info@prodente.de</w:t>
                              </w:r>
                            </w:hyperlink>
                            <w:r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/>
                            <w:hyperlink r:id="rId12" w:tooltip="http://www.prodente.de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www.prodente.de</w:t>
                              </w:r>
                            </w:hyperlink>
                            <w:r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/>
                            <w:hyperlink r:id="rId13" w:tooltip="http://www.facebook.com/proDente.e.V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www.facebook.com/proDente.e.V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.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/>
                            <w:hyperlink r:id="rId14" w:tooltip="http://www.youtube.com/prodenteTV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www.youtube.com/prodenteTV</w:t>
                              </w:r>
                            </w:hyperlink>
                            <w:r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/>
                            <w:hyperlink r:id="rId15" w:tooltip="http://www.x.com/proDente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www.x.com/proDente</w:t>
                              </w:r>
                            </w:hyperlink>
                            <w:r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/>
                            <w:hyperlink r:id="rId16" w:tooltip="http://www.instagram.com/initiative_prodente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www.instagram.com/initiative_prodente</w:t>
                              </w:r>
                            </w:hyperlink>
                            <w:r>
                              <w:rPr>
                                <w:rStyle w:val="743"/>
                                <w:lang w:val="fr-FR"/>
                              </w:rPr>
                              <w:t xml:space="preserve">/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rStyle w:val="743"/>
                                <w:lang w:val="fr-FR"/>
                              </w:rPr>
                            </w:pPr>
                            <w:r/>
                            <w:hyperlink r:id="rId17" w:tooltip="http://www.pinterest.com/prodente/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www.pinterest.com/prodente</w:t>
                              </w:r>
                            </w:hyperlink>
                            <w:r/>
                            <w:r>
                              <w:rPr>
                                <w:rStyle w:val="743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rStyle w:val="743"/>
                                <w:lang w:val="fr-FR"/>
                              </w:rPr>
                            </w:pPr>
                            <w:r/>
                            <w:hyperlink r:id="rId18" w:tooltip="http://www.tiktok.com/@initiative_prodente" w:history="1">
                              <w:r>
                                <w:rPr>
                                  <w:rStyle w:val="743"/>
                                  <w:lang w:val="fr-FR"/>
                                </w:rPr>
                                <w:t xml:space="preserve">www.tiktok.com/@initiative_prodente</w:t>
                              </w:r>
                            </w:hyperlink>
                            <w:r/>
                            <w:r>
                              <w:rPr>
                                <w:rStyle w:val="743"/>
                                <w:lang w:val="fr-FR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Style w:val="743"/>
                              </w:rPr>
                              <w:t xml:space="preserve">www.linkedin.com/company/prodente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>
                                <w:left w:val="single" w:color="000000" w:sz="4" w:space="6"/>
                              </w:pBdr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332.75pt;mso-position-horizontal:absolute;mso-position-vertical-relative:line;margin-top:-60.65pt;mso-position-vertical:absolute;width:178.00pt;height:818.00pt;mso-wrap-distance-left:0.00pt;mso-wrap-distance-top:0.00pt;mso-wrap-distance-right:0.00pt;mso-wrap-distance-bottom:0.00pt;v-text-anchor:top;visibility:visible;" filled="f" stroked="f" strokeweight="1.00pt">
                <v:textbox inset="0,0,0,0">
                  <w:txbxContent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Presseinformation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Kontakt: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Initiative </w:t>
                      </w:r>
                      <w:r>
                        <w:rPr>
                          <w:sz w:val="18"/>
                          <w:szCs w:val="18"/>
                        </w:rPr>
                        <w:t xml:space="preserve">proDente</w:t>
                      </w:r>
                      <w:r>
                        <w:rPr>
                          <w:sz w:val="18"/>
                          <w:szCs w:val="18"/>
                        </w:rPr>
                        <w:t xml:space="preserve"> e. V.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Aachener Straße 1053-1055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50858 Köln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Fon: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+49 221 170 99 740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Fax: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+49 221 170 742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Mobil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ab/>
                        <w:t xml:space="preserve">+49 163 776 336 8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/>
                      <w:hyperlink r:id="rId11" w:tooltip="mailto:info@prodente.de" w:history="1">
                        <w:r>
                          <w:rPr>
                            <w:rStyle w:val="742"/>
                            <w:lang w:val="fr-FR"/>
                          </w:rPr>
                          <w:t xml:space="preserve">info@prodente.de</w:t>
                        </w:r>
                      </w:hyperlink>
                      <w:r/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/>
                      <w:hyperlink r:id="rId12" w:tooltip="http://www.prodente.de" w:history="1">
                        <w:r>
                          <w:rPr>
                            <w:rStyle w:val="743"/>
                            <w:lang w:val="fr-FR"/>
                          </w:rPr>
                          <w:t xml:space="preserve">www.prodente.de</w:t>
                        </w:r>
                      </w:hyperlink>
                      <w:r/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/>
                      <w:hyperlink r:id="rId13" w:tooltip="http://www.facebook.com/proDente.e.V" w:history="1">
                        <w:r>
                          <w:rPr>
                            <w:rStyle w:val="743"/>
                            <w:lang w:val="fr-FR"/>
                          </w:rPr>
                          <w:t xml:space="preserve">www.facebook.com/proDente.e.V</w:t>
                        </w:r>
                      </w:hyperlink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.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/>
                      <w:hyperlink r:id="rId14" w:tooltip="http://www.youtube.com/prodenteTV" w:history="1">
                        <w:r>
                          <w:rPr>
                            <w:rStyle w:val="743"/>
                            <w:lang w:val="fr-FR"/>
                          </w:rPr>
                          <w:t xml:space="preserve">www.youtube.com/prodenteTV</w:t>
                        </w:r>
                      </w:hyperlink>
                      <w:r/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/>
                      <w:hyperlink r:id="rId15" w:tooltip="http://www.x.com/proDente" w:history="1">
                        <w:r>
                          <w:rPr>
                            <w:rStyle w:val="743"/>
                            <w:lang w:val="fr-FR"/>
                          </w:rPr>
                          <w:t xml:space="preserve">www.x.com/proDente</w:t>
                        </w:r>
                      </w:hyperlink>
                      <w:r/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lang w:val="fr-FR"/>
                        </w:rPr>
                      </w:pPr>
                      <w:r/>
                      <w:hyperlink r:id="rId16" w:tooltip="http://www.instagram.com/initiative_prodente" w:history="1">
                        <w:r>
                          <w:rPr>
                            <w:rStyle w:val="743"/>
                            <w:lang w:val="fr-FR"/>
                          </w:rPr>
                          <w:t xml:space="preserve">www.instagram.com/initiative_prodente</w:t>
                        </w:r>
                      </w:hyperlink>
                      <w:r>
                        <w:rPr>
                          <w:rStyle w:val="743"/>
                          <w:lang w:val="fr-FR"/>
                        </w:rPr>
                        <w:t xml:space="preserve">/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rStyle w:val="743"/>
                          <w:lang w:val="fr-FR"/>
                        </w:rPr>
                      </w:pPr>
                      <w:r/>
                      <w:hyperlink r:id="rId17" w:tooltip="http://www.pinterest.com/prodente/" w:history="1">
                        <w:r>
                          <w:rPr>
                            <w:rStyle w:val="743"/>
                            <w:lang w:val="fr-FR"/>
                          </w:rPr>
                          <w:t xml:space="preserve">www.pinterest.com/prodente</w:t>
                        </w:r>
                      </w:hyperlink>
                      <w:r/>
                      <w:r>
                        <w:rPr>
                          <w:rStyle w:val="743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rStyle w:val="743"/>
                          <w:lang w:val="fr-FR"/>
                        </w:rPr>
                      </w:pPr>
                      <w:r/>
                      <w:hyperlink r:id="rId18" w:tooltip="http://www.tiktok.com/@initiative_prodente" w:history="1">
                        <w:r>
                          <w:rPr>
                            <w:rStyle w:val="743"/>
                            <w:lang w:val="fr-FR"/>
                          </w:rPr>
                          <w:t xml:space="preserve">www.tiktok.com/@initiative_prodente</w:t>
                        </w:r>
                      </w:hyperlink>
                      <w:r/>
                      <w:r>
                        <w:rPr>
                          <w:rStyle w:val="743"/>
                          <w:lang w:val="fr-FR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Style w:val="743"/>
                        </w:rPr>
                        <w:t xml:space="preserve">www.linkedin.com/company/prodente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>
                          <w:left w:val="single" w:color="000000" w:sz="4" w:space="6"/>
                        </w:pBdr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Köln, </w:t>
      </w:r>
      <w:r>
        <w:rPr>
          <w:rFonts w:ascii="Arial" w:hAnsi="Arial"/>
        </w:rPr>
        <w:t xml:space="preserve">15</w:t>
      </w:r>
      <w:r>
        <w:rPr>
          <w:rFonts w:ascii="Arial" w:hAnsi="Arial"/>
        </w:rPr>
        <w:t xml:space="preserve">.04.2026</w:t>
      </w:r>
      <w:r>
        <w:rPr>
          <w:rFonts w:ascii="Arial" w:hAnsi="Arial" w:eastAsia="Arial" w:cs="Arial"/>
        </w:rPr>
      </w:r>
    </w:p>
    <w:p>
      <w:pPr>
        <w:pStyle w:val="740"/>
        <w:pBdr/>
        <w:spacing w:after="120" w:before="120"/>
        <w:ind w:right="2693"/>
        <w:rPr>
          <w:rFonts w:ascii="Arial" w:hAnsi="Arial" w:eastAsia="Arial" w:cs="Arial"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 xml:space="preserve">Parodontitis – die stille Volkskrankheit</w:t>
      </w:r>
      <w:r>
        <w:rPr>
          <w:rFonts w:ascii="Arial" w:hAnsi="Arial" w:eastAsia="Arial" w:cs="Arial"/>
          <w:b/>
          <w:bCs/>
          <w:sz w:val="48"/>
          <w:szCs w:val="48"/>
        </w:rPr>
      </w:r>
    </w:p>
    <w:p>
      <w:pPr>
        <w:numPr>
          <w:ilvl w:val="0"/>
          <w:numId w:val="2"/>
        </w:numPr>
        <w:pBdr/>
        <w:spacing w:line="360" w:lineRule="auto"/>
        <w:ind w:right="2835"/>
        <w:jc w:val="both"/>
        <w:rPr/>
      </w:pPr>
      <w:r>
        <w:t xml:space="preserve">Jeder zweite Erwachsene leidet an Parodontitis</w:t>
      </w:r>
      <w:r/>
    </w:p>
    <w:p>
      <w:pPr>
        <w:numPr>
          <w:ilvl w:val="0"/>
          <w:numId w:val="2"/>
        </w:numPr>
        <w:pBdr/>
        <w:spacing w:line="360" w:lineRule="auto"/>
        <w:ind w:right="2835"/>
        <w:jc w:val="both"/>
        <w:rPr/>
      </w:pPr>
      <w:r>
        <w:t xml:space="preserve">Dauerhafte Entzündung schädigt den gesamten Körper</w:t>
      </w:r>
      <w:r/>
    </w:p>
    <w:p>
      <w:pPr>
        <w:numPr>
          <w:ilvl w:val="0"/>
          <w:numId w:val="2"/>
        </w:numPr>
        <w:pBdr/>
        <w:spacing w:line="360" w:lineRule="auto"/>
        <w:ind w:right="2835"/>
        <w:jc w:val="both"/>
        <w:rPr/>
      </w:pPr>
      <w:r>
        <w:t xml:space="preserve">Krankheit im Frühstadium gut behandelbar</w:t>
      </w:r>
      <w:r/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Die Zahlen alarmieren. Die Mehrheit der Erwachsenen in Deutschland leidet an Parodontitis, etwa 14 Millionen davon an einer </w:t>
      </w:r>
      <w:r>
        <w:rPr>
          <w:b/>
          <w:bCs/>
          <w:sz w:val="24"/>
          <w:szCs w:val="24"/>
        </w:rPr>
        <w:t xml:space="preserve">behandlungsbedürftigen, </w:t>
      </w:r>
      <w:r>
        <w:rPr>
          <w:b/>
          <w:bCs/>
          <w:sz w:val="24"/>
          <w:szCs w:val="24"/>
        </w:rPr>
        <w:t xml:space="preserve">schweren Form. Bakterielle Beläge auf Zähnen und </w:t>
      </w:r>
      <w:r>
        <w:rPr>
          <w:b/>
          <w:bCs/>
          <w:sz w:val="24"/>
          <w:szCs w:val="24"/>
        </w:rPr>
        <w:t xml:space="preserve">am </w:t>
      </w:r>
      <w:r>
        <w:rPr>
          <w:b/>
          <w:bCs/>
          <w:sz w:val="24"/>
          <w:szCs w:val="24"/>
        </w:rPr>
        <w:t xml:space="preserve">Zahnfleisch</w:t>
      </w:r>
      <w:r>
        <w:rPr>
          <w:b/>
          <w:bCs/>
          <w:sz w:val="24"/>
          <w:szCs w:val="24"/>
        </w:rPr>
        <w:t xml:space="preserve">rand</w:t>
      </w:r>
      <w:r>
        <w:rPr>
          <w:b/>
          <w:bCs/>
          <w:sz w:val="24"/>
          <w:szCs w:val="24"/>
        </w:rPr>
        <w:t xml:space="preserve"> lösen die Krankheit aus, die sich schleichend zur chronischen Entzündung mit weitreichenden Folgen entwickelt. 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„Parodontitis betrifft nicht nur den Mundraum, sondern den ganzen Körper“, sagt Priv.-</w:t>
      </w:r>
      <w:r>
        <w:rPr>
          <w:sz w:val="24"/>
          <w:szCs w:val="24"/>
        </w:rPr>
        <w:t xml:space="preserve">Doz</w:t>
      </w:r>
      <w:r>
        <w:rPr>
          <w:sz w:val="24"/>
          <w:szCs w:val="24"/>
        </w:rPr>
        <w:t xml:space="preserve">. Dr. med. </w:t>
      </w:r>
      <w:r>
        <w:rPr>
          <w:sz w:val="24"/>
          <w:szCs w:val="24"/>
        </w:rPr>
        <w:t xml:space="preserve">dent</w:t>
      </w:r>
      <w:r>
        <w:rPr>
          <w:sz w:val="24"/>
          <w:szCs w:val="24"/>
        </w:rPr>
        <w:t xml:space="preserve">. Sonja H. M. Derman, Oberärztin und Leiterin </w:t>
      </w:r>
      <w:r>
        <w:rPr>
          <w:sz w:val="24"/>
          <w:szCs w:val="24"/>
        </w:rPr>
        <w:t xml:space="preserve">des Funktionsbereichs</w:t>
      </w:r>
      <w:r>
        <w:rPr>
          <w:sz w:val="24"/>
          <w:szCs w:val="24"/>
        </w:rPr>
        <w:t xml:space="preserve"> Parodontologie an der Universitätsklinik Köln. „Wir wissen heute, dass die vier großen Volkskrankheiten – Diabetes, Herz-Kreislauf-Erkrankungen, chronische Atemwegs</w:t>
      </w:r>
      <w:r>
        <w:rPr>
          <w:sz w:val="24"/>
          <w:szCs w:val="24"/>
        </w:rPr>
        <w:t xml:space="preserve">-E</w:t>
      </w:r>
      <w:r>
        <w:rPr>
          <w:sz w:val="24"/>
          <w:szCs w:val="24"/>
        </w:rPr>
        <w:t xml:space="preserve">rkrankungen und Krebs – unmittelbar mit Parodontitis zusammenhängen. Mund- und Allgemeingesundheit sind untrennbar verbunden.“ </w:t>
      </w:r>
      <w:r>
        <w:rPr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Frühes Handeln entscheidend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Parodontitis</w:t>
      </w:r>
      <w:r>
        <w:rPr>
          <w:sz w:val="24"/>
          <w:szCs w:val="24"/>
        </w:rPr>
        <w:t xml:space="preserve"> wird durch Bakterien im Zahnbelag (Plaque) ausgelöst und</w:t>
      </w:r>
      <w:r>
        <w:rPr>
          <w:sz w:val="24"/>
          <w:szCs w:val="24"/>
        </w:rPr>
        <w:t xml:space="preserve"> ist eine chronische Entzündung mit systemischen Auswirkungen. </w:t>
      </w:r>
      <w:r>
        <w:rPr>
          <w:sz w:val="24"/>
          <w:szCs w:val="24"/>
        </w:rPr>
        <w:t xml:space="preserve">Bakterien </w:t>
      </w:r>
      <w:r>
        <w:rPr>
          <w:sz w:val="24"/>
          <w:szCs w:val="24"/>
        </w:rPr>
        <w:t xml:space="preserve">in den Zahnfleischtaschen setzen </w:t>
      </w:r>
      <w:r>
        <w:rPr>
          <w:sz w:val="24"/>
          <w:szCs w:val="24"/>
        </w:rPr>
        <w:t xml:space="preserve">entzündungsfördernde Substanzen </w:t>
      </w:r>
      <w:r>
        <w:rPr>
          <w:sz w:val="24"/>
          <w:szCs w:val="24"/>
        </w:rPr>
        <w:t xml:space="preserve">frei, die sich über den Blutkreislauf verteilen</w:t>
      </w:r>
      <w:r>
        <w:rPr>
          <w:sz w:val="24"/>
          <w:szCs w:val="24"/>
        </w:rPr>
        <w:t xml:space="preserve"> können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Das </w:t>
      </w:r>
      <w:r>
        <w:rPr>
          <w:sz w:val="24"/>
          <w:szCs w:val="24"/>
        </w:rPr>
        <w:t xml:space="preserve">G</w:t>
      </w:r>
      <w:r>
        <w:rPr>
          <w:sz w:val="24"/>
          <w:szCs w:val="24"/>
        </w:rPr>
        <w:t xml:space="preserve">leiche gilt für die Entzündungsbotenstoffe, die das Immunsystem </w:t>
      </w:r>
      <w:r>
        <w:rPr>
          <w:sz w:val="24"/>
          <w:szCs w:val="24"/>
        </w:rPr>
        <w:t xml:space="preserve">als Abwehr gegen die Parodontitis </w:t>
      </w:r>
      <w:r>
        <w:rPr>
          <w:sz w:val="24"/>
          <w:szCs w:val="24"/>
        </w:rPr>
        <w:t xml:space="preserve">produziert.</w:t>
      </w:r>
      <w:r>
        <w:rPr>
          <w:sz w:val="24"/>
          <w:szCs w:val="24"/>
        </w:rPr>
        <w:t xml:space="preserve"> Die</w:t>
      </w:r>
      <w:r>
        <w:rPr>
          <w:sz w:val="24"/>
          <w:szCs w:val="24"/>
        </w:rPr>
        <w:t xml:space="preserve">ser</w:t>
      </w:r>
      <w:r>
        <w:rPr>
          <w:sz w:val="24"/>
          <w:szCs w:val="24"/>
        </w:rPr>
        <w:t xml:space="preserve"> Entzündung</w:t>
      </w:r>
      <w:r>
        <w:rPr>
          <w:sz w:val="24"/>
          <w:szCs w:val="24"/>
        </w:rPr>
        <w:t xml:space="preserve">sprozess</w:t>
      </w:r>
      <w:r>
        <w:rPr>
          <w:sz w:val="24"/>
          <w:szCs w:val="24"/>
        </w:rPr>
        <w:t xml:space="preserve"> schwelt </w:t>
      </w:r>
      <w:r>
        <w:rPr>
          <w:sz w:val="24"/>
          <w:szCs w:val="24"/>
        </w:rPr>
        <w:t xml:space="preserve">so </w:t>
      </w:r>
      <w:r>
        <w:rPr>
          <w:sz w:val="24"/>
          <w:szCs w:val="24"/>
        </w:rPr>
        <w:t xml:space="preserve">dauerhaft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 ganzen Körper. „Gerötetes oder blutendes </w:t>
      </w:r>
      <w:r>
        <w:rPr>
          <w:sz w:val="24"/>
          <w:szCs w:val="24"/>
        </w:rPr>
        <w:t xml:space="preserve">Zahnfleisch ist immer ein Warnsignal“, betont Dr. Derman. „Eine rechtzeitige, professionelle Behandlung kann </w:t>
      </w:r>
      <w:r>
        <w:rPr>
          <w:sz w:val="24"/>
          <w:szCs w:val="24"/>
        </w:rPr>
        <w:t xml:space="preserve">eine reine Zahnfleischentzündung (Gingivitis) </w:t>
      </w:r>
      <w:r>
        <w:rPr>
          <w:sz w:val="24"/>
          <w:szCs w:val="24"/>
        </w:rPr>
        <w:t xml:space="preserve">vollständig heilen. Ohne Therapie </w:t>
      </w:r>
      <w:r>
        <w:rPr>
          <w:sz w:val="24"/>
          <w:szCs w:val="24"/>
        </w:rPr>
        <w:t xml:space="preserve">entwickelt sich daraus in den meisten Fällen eine Parodontitis. Die sich nur noch lindern oder verlangsamen lässt.“ </w:t>
      </w:r>
      <w:r>
        <w:rPr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Entzündung greift um sich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Besonders problematisch: Parodontitis verstärkt schwere Erkrankungen. Sie steht in enger Wechselwirkung mit Diabetes. Beide Krankheiten beeinflussen und verschlimmern sich gegenseitig. Eine unbehandelte Parodontitis verschlechtert die Blutzuckerkontrolle, </w:t>
      </w:r>
      <w:r>
        <w:rPr>
          <w:sz w:val="24"/>
          <w:szCs w:val="24"/>
        </w:rPr>
        <w:t xml:space="preserve">wodurch sich der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HbA1c</w:t>
      </w:r>
      <w:r>
        <w:rPr>
          <w:sz w:val="24"/>
          <w:szCs w:val="24"/>
        </w:rPr>
        <w:t xml:space="preserve">-Wert </w:t>
      </w:r>
      <w:r>
        <w:rPr>
          <w:sz w:val="24"/>
          <w:szCs w:val="24"/>
        </w:rPr>
        <w:t xml:space="preserve">erhöht,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fördert </w:t>
      </w:r>
      <w:r>
        <w:rPr>
          <w:sz w:val="24"/>
          <w:szCs w:val="24"/>
        </w:rPr>
        <w:t xml:space="preserve">damit </w:t>
      </w:r>
      <w:r>
        <w:rPr>
          <w:sz w:val="24"/>
          <w:szCs w:val="24"/>
        </w:rPr>
        <w:t xml:space="preserve">diabetische Folgeerkrankungen. Das Risiko für Nierenschäden und erhöhte Sterblichkeit steigt deutlich. „</w:t>
      </w:r>
      <w:r>
        <w:rPr>
          <w:sz w:val="24"/>
          <w:szCs w:val="24"/>
        </w:rPr>
        <w:t xml:space="preserve">Die</w:t>
      </w:r>
      <w:r>
        <w:rPr>
          <w:sz w:val="24"/>
          <w:szCs w:val="24"/>
        </w:rPr>
        <w:t xml:space="preserve"> wechselseitige Beziehung</w:t>
      </w:r>
      <w:r>
        <w:rPr>
          <w:sz w:val="24"/>
          <w:szCs w:val="24"/>
        </w:rPr>
        <w:t xml:space="preserve"> ist wissenschaftlich eindeutig nachgewiesen</w:t>
      </w:r>
      <w:r>
        <w:rPr>
          <w:sz w:val="24"/>
          <w:szCs w:val="24"/>
        </w:rPr>
        <w:t xml:space="preserve">“, erklärt Dr. Derman. 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Gefahr für Herz und Gefäße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Auch Herz-Kreislauf-Erkrankungen treten bei Parodontitis-Patienten häufiger auf. Chronische Entzündungen im Mund fördern systemische Entzündungen und arteriosklerotische Veränderungen.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Auch hier weisen viele Studien auf einen Zusammenhang hin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Menschen mit Parodontitis erleiden öfter Herzinfarkte und Schlaganfälle. Eine schwedische Studie zeigt, dass das Risiko für Herz-Kreislauf-Erkrankungen bei schwerer Parodontitis um 49 Prozent steigt – und das innerhalb von nur sechs Jahren. </w:t>
      </w:r>
      <w:r>
        <w:rPr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Bedrohung für die Atemwege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Parodontitis-Bakterien können über die Atemwege in die Lunge gelangen, </w:t>
      </w:r>
      <w:r>
        <w:rPr>
          <w:sz w:val="24"/>
          <w:szCs w:val="24"/>
        </w:rPr>
        <w:t xml:space="preserve">bei Risikogruppen </w:t>
      </w:r>
      <w:r>
        <w:rPr>
          <w:sz w:val="24"/>
          <w:szCs w:val="24"/>
        </w:rPr>
        <w:t xml:space="preserve">Infektionen auslösen oder bestehende Erkrankungen wie COPD verschlimmern. Zudem gibt es Hinweise auf Verbindungen zu bestimmten Krebsarten, vor allem im Mund- und Rachenraum. </w:t>
      </w:r>
      <w:r>
        <w:rPr>
          <w:sz w:val="24"/>
          <w:szCs w:val="24"/>
        </w:rPr>
        <w:t xml:space="preserve">Entzündungsstoffe fördern offenbar die Krebsentstehung und -entwicklung. </w:t>
      </w:r>
      <w:r>
        <w:rPr>
          <w:sz w:val="24"/>
          <w:szCs w:val="24"/>
        </w:rPr>
        <w:t xml:space="preserve">Das Bakterium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Porphyromonas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gingivalis</w:t>
      </w:r>
      <w:r>
        <w:rPr>
          <w:sz w:val="24"/>
          <w:szCs w:val="24"/>
        </w:rPr>
        <w:t xml:space="preserve"> steht im Verdacht, chronische Entzündungen zu verursachen, freie Radikale freizusetzen und </w:t>
      </w:r>
      <w:r>
        <w:rPr>
          <w:sz w:val="24"/>
          <w:szCs w:val="24"/>
        </w:rPr>
        <w:t xml:space="preserve">so </w:t>
      </w:r>
      <w:r>
        <w:rPr>
          <w:sz w:val="24"/>
          <w:szCs w:val="24"/>
        </w:rPr>
        <w:t xml:space="preserve">DNA-Schäden sowie unkontrolliertes Zellwachstum zu begünstigen. </w:t>
      </w:r>
      <w:r>
        <w:rPr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Vielfältige Auswirkungen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Parodontitis bleibt nicht auf den Mund beschränkt. </w:t>
      </w:r>
      <w:r>
        <w:rPr>
          <w:sz w:val="24"/>
          <w:szCs w:val="24"/>
        </w:rPr>
        <w:t xml:space="preserve">Durch die</w:t>
      </w:r>
      <w:r>
        <w:rPr>
          <w:sz w:val="24"/>
          <w:szCs w:val="24"/>
        </w:rPr>
        <w:t xml:space="preserve"> Verbreitung von Bakterien und Entzündungsbotenstoffen im ganzen Körper kommt es zum Einfluss auf andere Allgemein</w:t>
      </w:r>
      <w:r>
        <w:rPr>
          <w:sz w:val="24"/>
          <w:szCs w:val="24"/>
        </w:rPr>
        <w:t xml:space="preserve">e</w:t>
      </w:r>
      <w:r>
        <w:rPr>
          <w:sz w:val="24"/>
          <w:szCs w:val="24"/>
        </w:rPr>
        <w:t xml:space="preserve">rkrankungen. </w:t>
      </w:r>
      <w:r>
        <w:rPr>
          <w:sz w:val="24"/>
          <w:szCs w:val="24"/>
        </w:rPr>
        <w:t xml:space="preserve">S</w:t>
      </w:r>
      <w:r>
        <w:rPr>
          <w:sz w:val="24"/>
          <w:szCs w:val="24"/>
        </w:rPr>
        <w:t xml:space="preserve">ogar bakterielle Infektionen von Endoprothesen oder Herzklappen </w:t>
      </w:r>
      <w:r>
        <w:rPr>
          <w:sz w:val="24"/>
          <w:szCs w:val="24"/>
        </w:rPr>
        <w:t xml:space="preserve">sind </w:t>
      </w:r>
      <w:r>
        <w:rPr>
          <w:sz w:val="24"/>
          <w:szCs w:val="24"/>
        </w:rPr>
        <w:t xml:space="preserve">möglich. „Bei unklaren </w:t>
      </w:r>
      <w:r>
        <w:rPr>
          <w:sz w:val="24"/>
          <w:szCs w:val="24"/>
        </w:rPr>
        <w:t xml:space="preserve">Beschwerden,</w:t>
      </w:r>
      <w:r>
        <w:rPr>
          <w:sz w:val="24"/>
          <w:szCs w:val="24"/>
        </w:rPr>
        <w:t xml:space="preserve"> für die sich medizinisch keine Ursachen finden lassen, sollte man immer auch die Mundgesundheit prüfen“, rät Dr. Derman. „Eine enge Zusammenarbeit zwischen Fachdisziplinen ist hier entscheidend.“ </w:t>
      </w:r>
      <w:r>
        <w:rPr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Prävention ist der Schlüssel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Frühes Eingreifen und Vorsorge sind essenziell. Regelmäßige Zahnarztbesuche, </w:t>
      </w:r>
      <w:r>
        <w:rPr>
          <w:sz w:val="24"/>
          <w:szCs w:val="24"/>
        </w:rPr>
        <w:t xml:space="preserve">eine </w:t>
      </w:r>
      <w:r>
        <w:rPr>
          <w:sz w:val="24"/>
          <w:szCs w:val="24"/>
        </w:rPr>
        <w:t xml:space="preserve">frühzeitige Therapie und konsequente Mundhygiene senken das Risiko</w:t>
      </w:r>
      <w:r>
        <w:rPr>
          <w:sz w:val="24"/>
          <w:szCs w:val="24"/>
        </w:rPr>
        <w:t xml:space="preserve"> für eine Parodontitis</w:t>
      </w:r>
      <w:r>
        <w:rPr>
          <w:sz w:val="24"/>
          <w:szCs w:val="24"/>
        </w:rPr>
        <w:t xml:space="preserve"> erheblich. Zahnärztinnen und Zahnärzte sehen viele Menschen häufiger als Hausärzte, vor allem in jungen Jahren. Dieses Potenzial für Aufklärung und Früherkennung gilt es zu nutzen.</w:t>
      </w:r>
      <w:r>
        <w:rPr>
          <w:sz w:val="24"/>
          <w:szCs w:val="24"/>
        </w:rPr>
      </w:r>
    </w:p>
    <w:p>
      <w:pPr>
        <w:pBdr/>
        <w:spacing w:line="360" w:lineRule="auto"/>
        <w:ind w:right="283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before="120" w:line="360" w:lineRule="auto"/>
        <w:ind w:right="2835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</w:t>
      </w:r>
      <w:r>
        <w:rPr>
          <w:b/>
          <w:bCs/>
          <w:sz w:val="18"/>
          <w:szCs w:val="18"/>
        </w:rPr>
        <w:t xml:space="preserve">.</w:t>
      </w:r>
      <w:r>
        <w:rPr>
          <w:b/>
          <w:bCs/>
          <w:sz w:val="18"/>
          <w:szCs w:val="18"/>
        </w:rPr>
        <w:t xml:space="preserve">2</w:t>
      </w:r>
      <w:r>
        <w:rPr>
          <w:b/>
          <w:bCs/>
          <w:sz w:val="18"/>
          <w:szCs w:val="18"/>
        </w:rPr>
        <w:t xml:space="preserve">73 </w:t>
      </w:r>
      <w:r>
        <w:rPr>
          <w:b/>
          <w:bCs/>
          <w:sz w:val="18"/>
          <w:szCs w:val="18"/>
        </w:rPr>
        <w:t xml:space="preserve">Zeichen, Beleg erbeten</w:t>
      </w:r>
      <w:r>
        <w:rPr>
          <w:b/>
          <w:bCs/>
          <w:sz w:val="18"/>
          <w:szCs w:val="18"/>
        </w:rPr>
      </w:r>
    </w:p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 w:clear="all"/>
      </w:r>
      <w:r>
        <w:rPr>
          <w:b/>
          <w:bCs/>
          <w:sz w:val="18"/>
          <w:szCs w:val="18"/>
        </w:rPr>
      </w:r>
    </w:p>
    <w:p>
      <w:pPr>
        <w:pBdr/>
        <w:spacing w:before="120" w:line="360" w:lineRule="auto"/>
        <w:ind w:right="2835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Bdr/>
        <w:spacing w:before="120"/>
        <w:ind w:right="2835"/>
        <w:jc w:val="both"/>
        <w:rPr/>
      </w:pPr>
      <w:r>
        <w:rPr>
          <w:b/>
          <w:bCs/>
        </w:rPr>
        <w:t xml:space="preserve">Initiative </w:t>
      </w:r>
      <w:r>
        <w:rPr>
          <w:b/>
          <w:bCs/>
        </w:rPr>
        <w:t xml:space="preserve">proDente</w:t>
      </w:r>
      <w:r>
        <w:rPr>
          <w:b/>
          <w:bCs/>
        </w:rPr>
        <w:t xml:space="preserve"> e.V. – Fakten</w:t>
      </w:r>
      <w:r/>
    </w:p>
    <w:p>
      <w:pPr>
        <w:pBdr/>
        <w:spacing w:before="120"/>
        <w:ind w:right="2545"/>
        <w:jc w:val="both"/>
        <w:rPr/>
      </w:pPr>
      <w:r>
        <w:t xml:space="preserve">proDente</w:t>
      </w:r>
      <w:r>
        <w:t xml:space="preserve"> informiert über gesunde und schöne Zähne. Die Inhalte werden von Fachleuten wissenschaftlich geprüft. </w:t>
      </w:r>
      <w:r/>
    </w:p>
    <w:p>
      <w:pPr>
        <w:pBdr/>
        <w:spacing w:before="120"/>
        <w:ind w:right="2545"/>
        <w:jc w:val="both"/>
        <w:rPr>
          <w:b/>
          <w:bCs/>
        </w:rPr>
      </w:pPr>
      <w:r>
        <w:t xml:space="preserve">proDente</w:t>
      </w:r>
      <w:r>
        <w:t xml:space="preserve"> arbeitet für Journalisten, bietet Broschüren an und postet online. Fotos und Filme ergänzen die Informationen.</w:t>
      </w:r>
      <w:r>
        <w:rPr>
          <w:b/>
          <w:bCs/>
        </w:rPr>
      </w:r>
    </w:p>
    <w:p>
      <w:pPr>
        <w:pBdr/>
        <w:spacing w:before="120"/>
        <w:ind w:right="2545"/>
        <w:jc w:val="both"/>
        <w:rPr/>
      </w:pPr>
      <w:r>
        <w:t xml:space="preserve">Zahnärzte, Zahntechniker und Hersteller engagieren sich seit 1998 in der Initiative </w:t>
      </w:r>
      <w:r>
        <w:t xml:space="preserve">proDente</w:t>
      </w:r>
      <w:r>
        <w:t xml:space="preserve"> e.V. </w:t>
      </w:r>
      <w:r/>
    </w:p>
    <w:p>
      <w:pPr>
        <w:pBdr/>
        <w:spacing w:before="120"/>
        <w:ind w:right="2835"/>
        <w:jc w:val="both"/>
        <w:rPr/>
      </w:pPr>
      <w:r>
        <w:rPr>
          <w:b/>
          <w:bCs/>
        </w:rPr>
        <w:t xml:space="preserve">Geschäftsstelle</w:t>
      </w:r>
      <w:r/>
    </w:p>
    <w:p>
      <w:pPr>
        <w:pBdr/>
        <w:spacing w:before="120"/>
        <w:ind w:right="2545"/>
        <w:jc w:val="both"/>
        <w:rPr/>
      </w:pPr>
      <w:r>
        <w:t xml:space="preserve">Dirk Kropp, Geschäftsführer, ist mit dem </w:t>
      </w:r>
      <w:r>
        <w:t xml:space="preserve">proDente</w:t>
      </w:r>
      <w:r>
        <w:t xml:space="preserve">-Team Ansprechpartner für alle Fragen rund um die Öffentlichkeitsarbeit. </w:t>
      </w:r>
      <w:r/>
    </w:p>
    <w:p>
      <w:pPr>
        <w:pBdr/>
        <w:spacing w:before="120"/>
        <w:ind w:right="2545"/>
        <w:jc w:val="both"/>
        <w:rPr/>
      </w:pPr>
      <w:r>
        <w:t xml:space="preserve">Telefon: 0221/17099740, Mail: info@prodente.de</w:t>
      </w:r>
      <w:r/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843" w:right="1417" w:bottom="1135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Helvetica Neue">
    <w:panose1 w:val="020B060303080402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21BA4"/>
    <w:numStyleLink w:val="744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5ED13252"/>
    <w:styleLink w:val="744"/>
    <w:lvl w:ilvl="0">
      <w:isLgl w:val="false"/>
      <w:lvlJc w:val="left"/>
      <w:lvlText w:val="•"/>
      <w:numFmt w:val="bullet"/>
      <w:pPr>
        <w:pBdr/>
        <w:spacing/>
        <w:ind w:hanging="425" w:left="425"/>
      </w:pPr>
      <w:pStyle w:val="744"/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5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29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01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273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345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41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489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561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3"/>
    <w:next w:val="73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3"/>
    <w:next w:val="7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3"/>
    <w:next w:val="73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3"/>
    <w:next w:val="7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3"/>
    <w:next w:val="73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3"/>
    <w:next w:val="7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3"/>
    <w:next w:val="73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3"/>
    <w:next w:val="73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3"/>
    <w:next w:val="73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3"/>
    <w:next w:val="73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3"/>
    <w:next w:val="73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3"/>
    <w:next w:val="73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3"/>
    <w:next w:val="73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4"/>
    <w:link w:val="176"/>
    <w:uiPriority w:val="99"/>
    <w:pPr>
      <w:pBdr/>
      <w:spacing/>
      <w:ind/>
    </w:pPr>
  </w:style>
  <w:style w:type="paragraph" w:styleId="178">
    <w:name w:val="Footer"/>
    <w:basedOn w:val="73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4"/>
    <w:link w:val="178"/>
    <w:uiPriority w:val="99"/>
    <w:pPr>
      <w:pBdr/>
      <w:spacing/>
      <w:ind/>
    </w:pPr>
  </w:style>
  <w:style w:type="paragraph" w:styleId="180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190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191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192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193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194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195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196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197">
    <w:name w:val="toc 9"/>
    <w:basedOn w:val="733"/>
    <w:next w:val="73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3"/>
    <w:next w:val="733"/>
    <w:uiPriority w:val="99"/>
    <w:unhideWhenUsed/>
    <w:pPr>
      <w:pBdr/>
      <w:spacing w:after="0" w:afterAutospacing="0"/>
      <w:ind/>
    </w:pPr>
  </w:style>
  <w:style w:type="paragraph" w:styleId="733" w:default="1">
    <w:name w:val="Normal"/>
    <w:qFormat/>
    <w:pPr>
      <w:pBdr/>
      <w:spacing/>
      <w:ind/>
    </w:pPr>
    <w:rPr>
      <w:rFonts w:ascii="Arial" w:hAnsi="Aria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Hyperlink"/>
    <w:pPr>
      <w:pBdr/>
      <w:spacing/>
      <w:ind/>
    </w:pPr>
    <w:rPr>
      <w:u w:val="single"/>
    </w:rPr>
  </w:style>
  <w:style w:type="table" w:styleId="738" w:customStyle="1">
    <w:name w:val="Table Normal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 w:customStyle="1">
    <w:name w:val="Kopf- und Fußzeilen"/>
    <w:pPr>
      <w:pBdr/>
      <w:tabs>
        <w:tab w:val="right" w:leader="none" w:pos="9020"/>
      </w:tabs>
      <w:spacing/>
      <w:ind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740">
    <w:name w:val="Plain Text"/>
    <w:pPr>
      <w:pBdr/>
      <w:spacing/>
      <w:ind/>
    </w:pPr>
    <w:rPr>
      <w:rFonts w:ascii="Courier New" w:hAnsi="Courier New" w:cs="Arial Unicode MS"/>
      <w:color w:val="000000"/>
    </w:rPr>
  </w:style>
  <w:style w:type="character" w:styleId="741" w:customStyle="1">
    <w:name w:val="Link"/>
    <w:pPr>
      <w:pBdr/>
      <w:spacing/>
      <w:ind/>
    </w:pPr>
    <w:rPr>
      <w:color w:val="0000ff"/>
      <w:u w:val="single"/>
    </w:rPr>
  </w:style>
  <w:style w:type="character" w:styleId="742" w:customStyle="1">
    <w:name w:val="Hyperlink.0"/>
    <w:basedOn w:val="741"/>
    <w:pPr>
      <w:pBdr/>
      <w:spacing/>
      <w:ind/>
    </w:pPr>
    <w:rPr>
      <w:color w:val="000000"/>
      <w:sz w:val="18"/>
      <w:szCs w:val="18"/>
      <w:u w:val="single"/>
    </w:rPr>
  </w:style>
  <w:style w:type="character" w:styleId="743" w:customStyle="1">
    <w:name w:val="Hyperlink.1"/>
    <w:basedOn w:val="741"/>
    <w:pPr>
      <w:pBdr/>
      <w:spacing/>
      <w:ind/>
    </w:pPr>
    <w:rPr>
      <w:color w:val="0000ff"/>
      <w:sz w:val="18"/>
      <w:szCs w:val="18"/>
      <w:u w:val="single"/>
    </w:rPr>
  </w:style>
  <w:style w:type="numbering" w:styleId="744" w:customStyle="1">
    <w:name w:val="Importierter Stil: 1"/>
    <w:pPr>
      <w:numPr>
        <w:numId w:val="1"/>
      </w:numPr>
      <w:pBdr/>
      <w:spacing/>
      <w:ind/>
    </w:pPr>
  </w:style>
  <w:style w:type="paragraph" w:styleId="745">
    <w:name w:val="Revision"/>
    <w:hidden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Arial" w:hAnsi="Aria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746">
    <w:name w:val="annotation reference"/>
    <w:basedOn w:val="73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7">
    <w:name w:val="annotation text"/>
    <w:basedOn w:val="733"/>
    <w:link w:val="748"/>
    <w:uiPriority w:val="99"/>
    <w:unhideWhenUsed/>
    <w:pPr>
      <w:pBdr/>
      <w:spacing/>
      <w:ind/>
    </w:pPr>
  </w:style>
  <w:style w:type="character" w:styleId="748" w:customStyle="1">
    <w:name w:val="Kommentartext Zchn"/>
    <w:basedOn w:val="734"/>
    <w:link w:val="747"/>
    <w:uiPriority w:val="99"/>
    <w:pPr>
      <w:pBdr/>
      <w:spacing/>
      <w:ind/>
    </w:pPr>
    <w:rPr>
      <w:rFonts w:ascii="Arial" w:hAnsi="Aria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749">
    <w:name w:val="annotation subject"/>
    <w:basedOn w:val="747"/>
    <w:next w:val="747"/>
    <w:link w:val="750"/>
    <w:uiPriority w:val="99"/>
    <w:semiHidden/>
    <w:unhideWhenUsed/>
    <w:pPr>
      <w:pBdr/>
      <w:spacing/>
      <w:ind/>
    </w:pPr>
    <w:rPr>
      <w:b/>
      <w:bCs/>
    </w:rPr>
  </w:style>
  <w:style w:type="character" w:styleId="750" w:customStyle="1">
    <w:name w:val="Kommentarthema Zchn"/>
    <w:basedOn w:val="748"/>
    <w:link w:val="749"/>
    <w:uiPriority w:val="99"/>
    <w:semiHidden/>
    <w:pPr>
      <w:pBdr/>
      <w:spacing/>
      <w:ind/>
    </w:pPr>
    <w:rPr>
      <w:rFonts w:ascii="Arial" w:hAnsi="Arial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info@prodente.de" TargetMode="External"/><Relationship Id="rId12" Type="http://schemas.openxmlformats.org/officeDocument/2006/relationships/hyperlink" Target="http://www.prodente.de" TargetMode="External"/><Relationship Id="rId13" Type="http://schemas.openxmlformats.org/officeDocument/2006/relationships/hyperlink" Target="http://www.facebook.com/proDente.e.V" TargetMode="External"/><Relationship Id="rId14" Type="http://schemas.openxmlformats.org/officeDocument/2006/relationships/hyperlink" Target="http://www.youtube.com/prodenteTV" TargetMode="External"/><Relationship Id="rId15" Type="http://schemas.openxmlformats.org/officeDocument/2006/relationships/hyperlink" Target="http://www.x.com/proDente" TargetMode="External"/><Relationship Id="rId16" Type="http://schemas.openxmlformats.org/officeDocument/2006/relationships/hyperlink" Target="http://www.instagram.com/initiative_prodente" TargetMode="External"/><Relationship Id="rId17" Type="http://schemas.openxmlformats.org/officeDocument/2006/relationships/hyperlink" Target="http://www.pinterest.com/prodente/" TargetMode="External"/><Relationship Id="rId18" Type="http://schemas.openxmlformats.org/officeDocument/2006/relationships/hyperlink" Target="http://www.tiktok.com/@initiative_prodent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Derman</dc:creator>
  <cp:lastModifiedBy>Andrea Dalmus</cp:lastModifiedBy>
  <cp:revision>3</cp:revision>
  <dcterms:created xsi:type="dcterms:W3CDTF">2026-04-07T15:29:00Z</dcterms:created>
  <dcterms:modified xsi:type="dcterms:W3CDTF">2026-04-15T11:03:31Z</dcterms:modified>
</cp:coreProperties>
</file>